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F7211C" w:rsidP="006E6B86">
            <w:r>
              <w:t>C</w:t>
            </w:r>
            <w:r w:rsidR="00D472B4">
              <w:t>PL(H) 34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C08CA" w:rsidRDefault="00CC08CA" w:rsidP="00CC08CA">
            <w:pPr>
              <w:pStyle w:val="tablebullet1"/>
            </w:pPr>
            <w:r>
              <w:t>Basic instrument flight</w:t>
            </w:r>
          </w:p>
          <w:p w:rsidR="00573D12" w:rsidRDefault="00573D12" w:rsidP="00CC08CA">
            <w:pPr>
              <w:pStyle w:val="tablebullet1"/>
            </w:pPr>
            <w:r>
              <w:t>Introduction to limited panel technique</w:t>
            </w:r>
          </w:p>
          <w:p w:rsidR="00CC08CA" w:rsidRDefault="00CC08CA" w:rsidP="00CC08CA">
            <w:pPr>
              <w:pStyle w:val="tablebullet1"/>
            </w:pPr>
            <w:r>
              <w:t>Recognition of and recovery from upset situations and unusual attitudes</w:t>
            </w:r>
          </w:p>
          <w:p w:rsidR="00667595" w:rsidRDefault="00CC08CA" w:rsidP="00CC08CA">
            <w:pPr>
              <w:pStyle w:val="tablebullet1"/>
            </w:pPr>
            <w:r>
              <w:t>Actions upon inadvertent entry into IMC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573D12">
              <w:t>2.0</w:t>
            </w:r>
            <w:r>
              <w:t xml:space="preserve"> hour</w:t>
            </w:r>
            <w:r w:rsidR="00573D12">
              <w:t>s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214547">
              <w:t xml:space="preserve"> </w:t>
            </w:r>
            <w:r w:rsidR="00D472B4">
              <w:t>Basic Instrument Flight</w:t>
            </w:r>
            <w:r w:rsidR="00EA65C7">
              <w:t xml:space="preserve"> </w:t>
            </w:r>
          </w:p>
          <w:p w:rsidR="00C259D4" w:rsidRDefault="00FA3399" w:rsidP="00FA3399">
            <w:pPr>
              <w:pStyle w:val="tablebullet1"/>
            </w:pPr>
            <w:r>
              <w:t>Instrument panel layout</w:t>
            </w:r>
          </w:p>
          <w:p w:rsidR="00CC08CA" w:rsidRDefault="00CC08CA" w:rsidP="00CC08CA">
            <w:pPr>
              <w:pStyle w:val="tablebullet1"/>
            </w:pPr>
            <w:r>
              <w:t>Instrument power sources</w:t>
            </w:r>
          </w:p>
          <w:p w:rsidR="00CC08CA" w:rsidRDefault="00CC08CA" w:rsidP="00CC08CA">
            <w:pPr>
              <w:pStyle w:val="tablebullet1"/>
            </w:pPr>
            <w:r>
              <w:t>Instrument checks &amp; serviceability</w:t>
            </w:r>
          </w:p>
          <w:p w:rsidR="00CC08CA" w:rsidRDefault="00CC08CA" w:rsidP="00CC08CA">
            <w:pPr>
              <w:pStyle w:val="tablebullet1"/>
            </w:pPr>
            <w:r>
              <w:t>Sensory Illusions</w:t>
            </w:r>
          </w:p>
          <w:p w:rsidR="00FA3399" w:rsidRDefault="00CC08CA" w:rsidP="00CC08CA">
            <w:pPr>
              <w:pStyle w:val="tablebullet1"/>
            </w:pPr>
            <w:r>
              <w:t>Instrument scan techniques</w:t>
            </w:r>
          </w:p>
          <w:p w:rsidR="00573D12" w:rsidRDefault="00573D12" w:rsidP="00CC08CA">
            <w:pPr>
              <w:pStyle w:val="tablebullet1"/>
            </w:pPr>
            <w:r>
              <w:t>Limited panel technique</w:t>
            </w:r>
          </w:p>
          <w:p w:rsidR="00CC08CA" w:rsidRDefault="00CC08CA" w:rsidP="00CC08CA">
            <w:pPr>
              <w:pStyle w:val="tablebullet1"/>
            </w:pPr>
            <w:r>
              <w:t>Dangers associated with attempting VFR flight into deteriorating weather</w:t>
            </w:r>
          </w:p>
          <w:p w:rsidR="00CC08CA" w:rsidRDefault="00CC08CA" w:rsidP="00CC08CA">
            <w:pPr>
              <w:pStyle w:val="tablebullet1"/>
            </w:pPr>
            <w:r>
              <w:t>Importance of proper pre-flight preparation and planning to avoid inadvertent entry into IMC</w:t>
            </w:r>
          </w:p>
          <w:p w:rsidR="00CC08CA" w:rsidRDefault="007B61D1" w:rsidP="00CC08CA">
            <w:pPr>
              <w:pStyle w:val="tablebullet1"/>
            </w:pPr>
            <w:r>
              <w:t xml:space="preserve">Actions upon inadvertent </w:t>
            </w:r>
            <w:r w:rsidR="00CC08CA">
              <w:t>entry into IMC</w:t>
            </w:r>
          </w:p>
          <w:p w:rsidR="00CC08CA" w:rsidRPr="008462C8" w:rsidRDefault="00CC08CA" w:rsidP="00CC08CA">
            <w:pPr>
              <w:pStyle w:val="tablebullet1"/>
            </w:pPr>
            <w:r>
              <w:t>Unusual attitudes – instrument indications, recovery techniques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33F2A" w:rsidRDefault="008144F5" w:rsidP="00C259D4">
            <w:pPr>
              <w:pStyle w:val="tablebullet1"/>
            </w:pPr>
            <w:r>
              <w:t>Review/expand previously introduced knowledge as required</w:t>
            </w:r>
          </w:p>
          <w:p w:rsidR="00FA3399" w:rsidRDefault="00FA3399" w:rsidP="00FA3399">
            <w:pPr>
              <w:pStyle w:val="tablebullet1"/>
              <w:rPr>
                <w:rFonts w:eastAsia="Arial" w:cs="Arial"/>
                <w:szCs w:val="20"/>
              </w:rPr>
            </w:pPr>
            <w:r>
              <w:t>Scan technique appropriate to fitted flight instruments and phase of</w:t>
            </w:r>
            <w:r>
              <w:rPr>
                <w:spacing w:val="-14"/>
              </w:rPr>
              <w:t xml:space="preserve"> </w:t>
            </w:r>
            <w:r>
              <w:t xml:space="preserve">flight </w:t>
            </w:r>
            <w:r w:rsidRPr="00FA3399">
              <w:t>[IFF(</w:t>
            </w:r>
            <w:r>
              <w:t>a</w:t>
            </w:r>
            <w:r w:rsidRPr="00FA3399">
              <w:t>)</w:t>
            </w:r>
            <w:r w:rsidR="003850FD">
              <w:t>,IFL(a)</w:t>
            </w:r>
            <w:r w:rsidRPr="00FA3399">
              <w:t>]</w:t>
            </w:r>
          </w:p>
          <w:p w:rsidR="00FA3399" w:rsidRDefault="00FA3399" w:rsidP="00FA3399">
            <w:pPr>
              <w:pStyle w:val="tablebullet1"/>
              <w:rPr>
                <w:rFonts w:eastAsia="Arial" w:cs="Arial"/>
                <w:szCs w:val="20"/>
              </w:rPr>
            </w:pPr>
            <w:r>
              <w:t>Attitude and power requirements to achieve specified flight</w:t>
            </w:r>
            <w:r>
              <w:rPr>
                <w:spacing w:val="-9"/>
              </w:rPr>
              <w:t xml:space="preserve"> </w:t>
            </w:r>
            <w:r>
              <w:t>profiles [IFF(b)</w:t>
            </w:r>
            <w:r w:rsidR="003850FD">
              <w:t>, IFL(b)</w:t>
            </w:r>
            <w:r>
              <w:t>]</w:t>
            </w:r>
          </w:p>
          <w:p w:rsidR="003850FD" w:rsidRDefault="00FA3399" w:rsidP="003850FD">
            <w:pPr>
              <w:pStyle w:val="tablebullet1"/>
            </w:pPr>
            <w:r>
              <w:t>I</w:t>
            </w:r>
            <w:r w:rsidRPr="006D0074">
              <w:t xml:space="preserve">nstrument failure and warning systems fitted to </w:t>
            </w:r>
            <w:r w:rsidR="00B96FE8">
              <w:t xml:space="preserve">the helicopter </w:t>
            </w:r>
            <w:r>
              <w:t xml:space="preserve"> [IFF(c)</w:t>
            </w:r>
            <w:r w:rsidR="003850FD">
              <w:t>,IFL(d)]</w:t>
            </w:r>
          </w:p>
          <w:p w:rsidR="003850FD" w:rsidRDefault="003850FD" w:rsidP="003850FD">
            <w:pPr>
              <w:pStyle w:val="tablebullet1"/>
            </w:pPr>
            <w:r>
              <w:t>The safety risks associated with application of large or rapid control inputs in more than 1 axis simultaneously [IFL(e)]</w:t>
            </w:r>
          </w:p>
          <w:p w:rsidR="00CF5F48" w:rsidRPr="008462C8" w:rsidRDefault="00CF5F48" w:rsidP="00FA3399">
            <w:pPr>
              <w:pStyle w:val="tablebullet1"/>
            </w:pPr>
            <w:r>
              <w:t>Upset recovery techniques [H7(e)]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D472B4" w:rsidP="00FA3399">
            <w:pPr>
              <w:pStyle w:val="tablebullet1"/>
            </w:pPr>
            <w:r>
              <w:t>Ensure VMC can be maintained</w:t>
            </w:r>
          </w:p>
          <w:p w:rsidR="00D472B4" w:rsidRDefault="00D472B4" w:rsidP="00FA3399">
            <w:pPr>
              <w:pStyle w:val="tablebullet1"/>
            </w:pPr>
            <w:r>
              <w:t>Look out for traffic.</w:t>
            </w:r>
          </w:p>
          <w:p w:rsidR="00FA3399" w:rsidRDefault="00FA3399" w:rsidP="00FA3399">
            <w:pPr>
              <w:pStyle w:val="tablebullet1"/>
            </w:pPr>
            <w:r>
              <w:t>Maintain situational awareness</w:t>
            </w:r>
          </w:p>
          <w:p w:rsidR="00CC08CA" w:rsidRPr="008462C8" w:rsidRDefault="00FA3399" w:rsidP="00CC08CA">
            <w:pPr>
              <w:pStyle w:val="tablebullet1"/>
            </w:pPr>
            <w:r>
              <w:t>Use correct handover /take over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214547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68"/>
        <w:gridCol w:w="8305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</w:t>
            </w:r>
            <w:r w:rsidR="006F361F">
              <w:t xml:space="preserve"> time [1.2</w:t>
            </w:r>
            <w:r w:rsidR="005E32A2" w:rsidRPr="006E6B86">
              <w:t xml:space="preserve"> hour</w:t>
            </w:r>
            <w:r w:rsidR="008542D6">
              <w:t>s</w:t>
            </w:r>
            <w:r w:rsidR="005E32A2" w:rsidRPr="006E6B86">
              <w:t xml:space="preserve"> dual]</w:t>
            </w:r>
          </w:p>
        </w:tc>
      </w:tr>
      <w:tr w:rsidR="00121F4A" w:rsidRPr="006E6B86" w:rsidTr="00573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68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573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68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C2.1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all required pre-flight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minimum equipment list (MEL)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weather forecasts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Notice to Airmen (NOTAM)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(vi) global navigation satellite system (GNSS) receiver autonomous integrity monitoring (RAIM)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(vii) En Route Supplement Australia (ERSA)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(viii) Aeronautical Information Package (AIP)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relevant radio and navigation aid facilities to be used during the flight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the suitability of the current and forecast weather conditions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using the aircraft documents, calculate the following for a given set of environmental and operational conditions: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weight and balance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981F5A" w:rsidRPr="00C05437" w:rsidTr="00573D12">
        <w:trPr>
          <w:trHeight w:val="227"/>
        </w:trPr>
        <w:tc>
          <w:tcPr>
            <w:tcW w:w="768" w:type="dxa"/>
            <w:vAlign w:val="center"/>
          </w:tcPr>
          <w:p w:rsidR="00981F5A" w:rsidRDefault="00981F5A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8305" w:type="dxa"/>
            <w:vAlign w:val="center"/>
          </w:tcPr>
          <w:p w:rsidR="00981F5A" w:rsidRDefault="00981F5A">
            <w:pPr>
              <w:rPr>
                <w:rFonts w:cs="Arial"/>
                <w:color w:val="000000"/>
                <w:sz w:val="16"/>
                <w:szCs w:val="16"/>
              </w:rPr>
            </w:pPr>
            <w:r w:rsidRPr="00981F5A">
              <w:rPr>
                <w:rFonts w:cs="Arial"/>
                <w:color w:val="000000"/>
                <w:sz w:val="16"/>
                <w:szCs w:val="16"/>
              </w:rPr>
              <w:t>(ii) in-ground and out-of-effect hover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81F5A" w:rsidRDefault="00981F5A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81F5A" w:rsidRPr="00C05437" w:rsidRDefault="00981F5A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take-off and landing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fuel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(g)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whether the aircraft is serviceable for the proposed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shd w:val="clear" w:color="auto" w:fill="auto"/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C2.2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and secure equipment and documentation that is required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an internal and external check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all defects or damage to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report to, and seek advice from, qualified personnel to determine the action required in relation to any identified defects or damage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all aircraft locking and securing devices, covers and bungs are removed and stowed securely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certify the aircraft flight technical log entering any defects or endorsements to permissible unserviceabilities as appropriate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and certify the daily inspection (if authorised to do so)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C2.3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C3.2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R/T equipment malfunctions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radio failure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use fault finding procedures and perform corrective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C3.3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Operate Transponder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a transponder during normal, abnormal and emergency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recall transponder emergency codes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C4.2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verify fuel quantity on-board aircraft prior to flight using two independent methods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the fuel caps are secured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quality check prior to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fuel drain cocks are closed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fuel usage during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(f)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accurately maintain fuel log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(g)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calculate and state endurance at any point during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(h)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tank changes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maintain fuel load within aircraft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(j)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the fuel cross-feed system correctly (if fitted)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(k)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operate fuel pumps and engine controls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(m)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configure the aircraft correctly to achieve best endurance performance and correctly calculate the revised operational endurance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C4.3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Refuel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identify the correct type of fuel to be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aircraft is earthed prior to refuelling and defueling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load and unload fuel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required fuel quantity is loaded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ensure fuel caps are closed and secured after fuelling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(f)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fuel quality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Maintain straight and level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adjust attitude and power  to achieve a constant height, heading and speed while remaining in 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natural horizon is used as primary attitude reference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nominated altitude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EE45B8" w:rsidRDefault="00EE45B8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H5.7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EE45B8" w:rsidRDefault="00EE45B8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Comply with airspace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EE45B8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suitable aeronautical charts are interpreted and used to maintain airspace compliance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circuit departure is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helicopter is maintained within a specified area and/or track while complying with air traffic requirements, controlled or restricted airspace conditions or limitations and reacting to factors that affect the safe progress of a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orientation is maintained to geographical features with the aid of suitable charts and maps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EE45B8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EE45B8" w:rsidRDefault="00EE45B8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EE45B8" w:rsidRDefault="00EE45B8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circuit join is conducted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E45B8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E45B8" w:rsidRPr="00C05437" w:rsidRDefault="00EE45B8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Determine and monitor the serviceability of flight instruments and instrument power sources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determine serviceability of flight and navigational instruments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perform functional checks of flight and navigational instruments where applicable prior to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monitor flight instrument and instrument power sources and react to any warnings, unserviceability or erroneous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Perform manoeuvres using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interpret flight instrument indications and apply procedures and techniques to achieve and maintain a specified flight path using the aircraft's full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achieve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(i) straight and level performance during normal cruise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(ii) nominated climb performance within the flight tolerance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(iii) descent performance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set and maintain power and attitude by reference to the full instrument panel to establish a rate 1 turn onto a nominated heading within the flight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A60CFF" w:rsidRDefault="00A60CFF">
            <w:pPr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IFF.3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A60CFF" w:rsidRDefault="00A60CFF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Recover from upset situations and unusual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recover to controlled flight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A60CFF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A60CFF" w:rsidRDefault="00A60CFF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60CFF" w:rsidRPr="00C05437" w:rsidRDefault="00A60CF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60CFF" w:rsidRPr="00C05437" w:rsidRDefault="00A60CFF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IFL.1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Recognise failure of attitude indicator and stabilised heading indicator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monitor flight instruments and instrument power sources and recognise warning indicators or erroneous instrument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transition from a full instrument panel to a limited instrument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IFL.2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Perform manoeuvres -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interpret and respond appropriately to instrument indications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power and attitude settings to achieve straight and level performance during: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 normal cruise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 in a helicopter - at minimum power for level flight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apply power and attitude settings to achieve: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(i)  nominated climb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(ii)  nominated descent performance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(iii)  during climb, descent and straight and level flight, rate 1 turns onto a nominated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(d)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balance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(e)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establish level flight at a nominated altitude, from a climb or descent during straight or turning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IFL.3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Recover from upset situations and unusual attitudes - limited panel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correctly identify upset situations and unusual attitudes under simulated IMC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recover to stabilised straight and level flight using approved techniques  from upset situations and unusual attitudes under simulated IMC from any combination of the following aircraft states: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(i) high and low-nose attitudes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(ii) varying angles of bank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(iii) various power settings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(iv) various aircraft configurations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(v) unbalanced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tcBorders>
              <w:right w:val="nil"/>
            </w:tcBorders>
            <w:vAlign w:val="center"/>
          </w:tcPr>
          <w:p w:rsidR="00573D12" w:rsidRDefault="00573D1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      </w:t>
            </w:r>
            <w:r>
              <w:rPr>
                <w:rFonts w:cs="Arial"/>
                <w:b/>
                <w:bCs/>
                <w:sz w:val="18"/>
                <w:szCs w:val="18"/>
              </w:rPr>
              <w:t>IFL.4</w:t>
            </w:r>
          </w:p>
        </w:tc>
        <w:tc>
          <w:tcPr>
            <w:tcW w:w="8305" w:type="dxa"/>
            <w:tcBorders>
              <w:left w:val="nil"/>
            </w:tcBorders>
            <w:vAlign w:val="center"/>
          </w:tcPr>
          <w:p w:rsidR="00573D12" w:rsidRDefault="00573D1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(a)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transition from visual flight conditions to instrument flight conditions while maintaining control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(b)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perform a manoeuvre to re-establish visual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  <w:tr w:rsidR="00573D12" w:rsidRPr="00C05437" w:rsidTr="00573D12">
        <w:trPr>
          <w:trHeight w:val="227"/>
        </w:trPr>
        <w:tc>
          <w:tcPr>
            <w:tcW w:w="768" w:type="dxa"/>
            <w:vAlign w:val="center"/>
          </w:tcPr>
          <w:p w:rsidR="00573D12" w:rsidRDefault="00573D12">
            <w:pPr>
              <w:jc w:val="righ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(c) </w:t>
            </w:r>
          </w:p>
        </w:tc>
        <w:tc>
          <w:tcPr>
            <w:tcW w:w="8305" w:type="dxa"/>
            <w:vAlign w:val="center"/>
          </w:tcPr>
          <w:p w:rsidR="00573D12" w:rsidRDefault="00573D12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implement a plan that ensures the flight continues in VMC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73D12" w:rsidRDefault="00573D12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73D12" w:rsidRPr="00C05437" w:rsidRDefault="00573D12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214547" w:rsidRDefault="00214547">
      <w:pPr>
        <w:spacing w:after="200" w:line="276" w:lineRule="auto"/>
        <w:rPr>
          <w:rStyle w:val="Emphasis"/>
        </w:rPr>
      </w:pPr>
      <w:r>
        <w:rPr>
          <w:rStyle w:val="Emphasis"/>
        </w:rP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EB00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>
            <w:pPr>
              <w:pStyle w:val="Heading3"/>
              <w:outlineLvl w:val="2"/>
            </w:pPr>
          </w:p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  <w:tr w:rsidR="00EB00C7" w:rsidRPr="006E6B86" w:rsidTr="00EB00C7">
        <w:tblPrEx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709" w:type="dxa"/>
          </w:tcPr>
          <w:p w:rsidR="00EB00C7" w:rsidRPr="006E6B86" w:rsidRDefault="00EB00C7" w:rsidP="00F7211C"/>
        </w:tc>
        <w:tc>
          <w:tcPr>
            <w:tcW w:w="8363" w:type="dxa"/>
          </w:tcPr>
          <w:p w:rsidR="00EB00C7" w:rsidRPr="006E6B86" w:rsidRDefault="00EB00C7" w:rsidP="00F7211C"/>
        </w:tc>
        <w:tc>
          <w:tcPr>
            <w:tcW w:w="426" w:type="dxa"/>
          </w:tcPr>
          <w:p w:rsidR="00EB00C7" w:rsidRPr="006E6B86" w:rsidRDefault="00EB00C7" w:rsidP="00F7211C"/>
        </w:tc>
        <w:tc>
          <w:tcPr>
            <w:tcW w:w="709" w:type="dxa"/>
          </w:tcPr>
          <w:p w:rsidR="00EB00C7" w:rsidRPr="006E6B86" w:rsidRDefault="00EB00C7" w:rsidP="00F7211C"/>
        </w:tc>
      </w:tr>
    </w:tbl>
    <w:p w:rsidR="007E7EDF" w:rsidRPr="006E6B86" w:rsidRDefault="007E7EDF" w:rsidP="006E6B86">
      <w:bookmarkStart w:id="0" w:name="_GoBack"/>
      <w:bookmarkEnd w:id="0"/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0FD" w:rsidRDefault="003850FD" w:rsidP="00061457">
      <w:r>
        <w:separator/>
      </w:r>
    </w:p>
  </w:endnote>
  <w:endnote w:type="continuationSeparator" w:id="0">
    <w:p w:rsidR="003850FD" w:rsidRDefault="003850FD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FD" w:rsidRDefault="003850FD">
    <w:pPr>
      <w:pStyle w:val="Footer"/>
    </w:pPr>
    <w:proofErr w:type="gramStart"/>
    <w:r>
      <w:t>CPL(</w:t>
    </w:r>
    <w:proofErr w:type="gramEnd"/>
    <w:r>
      <w:t xml:space="preserve">H) 34  </w:t>
    </w:r>
    <w:fldSimple w:instr=" DOCPROPERTY  Version  \* MERGEFORMAT ">
      <w:r w:rsidR="00214547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214547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1454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FD" w:rsidRPr="00AB198B" w:rsidRDefault="003850FD" w:rsidP="00682F97">
    <w:pPr>
      <w:pStyle w:val="Footer"/>
      <w:tabs>
        <w:tab w:val="left" w:pos="8010"/>
      </w:tabs>
    </w:pPr>
    <w:proofErr w:type="gramStart"/>
    <w:r>
      <w:t>CPL(</w:t>
    </w:r>
    <w:proofErr w:type="gramEnd"/>
    <w:r>
      <w:t xml:space="preserve">H) 34  </w:t>
    </w:r>
    <w:fldSimple w:instr=" DOCPROPERTY  Version  \* MERGEFORMAT ">
      <w:r w:rsidR="00214547">
        <w:t>v1.1</w:t>
      </w:r>
    </w:fldSimple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214547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1454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0FD" w:rsidRDefault="003850FD" w:rsidP="00061457">
      <w:r>
        <w:separator/>
      </w:r>
    </w:p>
  </w:footnote>
  <w:footnote w:type="continuationSeparator" w:id="0">
    <w:p w:rsidR="003850FD" w:rsidRDefault="003850FD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FD" w:rsidRPr="006E6B86" w:rsidRDefault="003850FD" w:rsidP="00D472B4">
    <w:pPr>
      <w:pStyle w:val="Syllabuslessonplan"/>
    </w:pPr>
    <w:r w:rsidRPr="006E6B86">
      <w:t>LESSON PLAN AND TRAINING record</w:t>
    </w:r>
  </w:p>
  <w:p w:rsidR="003850FD" w:rsidRPr="006E6B86" w:rsidRDefault="003850FD" w:rsidP="00D472B4">
    <w:pPr>
      <w:pStyle w:val="Syllabuslessonplan"/>
    </w:pPr>
    <w:r>
      <w:t>CPL(H)  34</w:t>
    </w:r>
    <w:r w:rsidRPr="006E6B86">
      <w:t xml:space="preserve">: </w:t>
    </w:r>
    <w:r>
      <w:t>basic instrument flight</w:t>
    </w:r>
  </w:p>
  <w:p w:rsidR="003850FD" w:rsidRPr="00324A25" w:rsidRDefault="003850FD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FD" w:rsidRDefault="003850FD" w:rsidP="0021700B">
    <w:pPr>
      <w:pStyle w:val="TrainingCoursetitle"/>
    </w:pPr>
    <w:r>
      <w:t>Commercial Pilot Licence – Helicopter Category Rating</w:t>
    </w:r>
  </w:p>
  <w:p w:rsidR="003850FD" w:rsidRPr="006E6B86" w:rsidRDefault="003850FD" w:rsidP="006E6B86"/>
  <w:p w:rsidR="003850FD" w:rsidRPr="006E6B86" w:rsidRDefault="003850FD" w:rsidP="00161953">
    <w:pPr>
      <w:pStyle w:val="Syllabuslessonplan"/>
    </w:pPr>
    <w:r w:rsidRPr="006E6B86">
      <w:t>LESSON PLAN AND TRAINING record</w:t>
    </w:r>
  </w:p>
  <w:p w:rsidR="003850FD" w:rsidRPr="006E6B86" w:rsidRDefault="003850FD" w:rsidP="00161953">
    <w:pPr>
      <w:pStyle w:val="Syllabuslessonplan"/>
    </w:pPr>
    <w:r>
      <w:t>CPL(H)  34</w:t>
    </w:r>
    <w:r w:rsidRPr="006E6B86">
      <w:t xml:space="preserve">: </w:t>
    </w:r>
    <w:r>
      <w:t>basic instrument flight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E14D9"/>
    <w:multiLevelType w:val="hybridMultilevel"/>
    <w:tmpl w:val="10DC290A"/>
    <w:lvl w:ilvl="0" w:tplc="E62472EC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55D67C62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47CCF1CE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2974AA5A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C040DB7A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98DA7AF6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E880B04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0F743C7A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73A2677E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3">
    <w:nsid w:val="3FEA3131"/>
    <w:multiLevelType w:val="hybridMultilevel"/>
    <w:tmpl w:val="C17892B0"/>
    <w:lvl w:ilvl="0" w:tplc="DBDACAD2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6ED8F47A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916E90C8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D16480D6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1046BEE4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E954FD00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A6768642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F9863F78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3E34C170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4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4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547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850FD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73D12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6F361F"/>
    <w:rsid w:val="00706119"/>
    <w:rsid w:val="00711982"/>
    <w:rsid w:val="00725AA5"/>
    <w:rsid w:val="007333CA"/>
    <w:rsid w:val="007436FA"/>
    <w:rsid w:val="00763714"/>
    <w:rsid w:val="007676CD"/>
    <w:rsid w:val="00790FAE"/>
    <w:rsid w:val="007A3AE7"/>
    <w:rsid w:val="007A6430"/>
    <w:rsid w:val="007B61D1"/>
    <w:rsid w:val="007C3F63"/>
    <w:rsid w:val="007D67A5"/>
    <w:rsid w:val="007E4E81"/>
    <w:rsid w:val="007E6348"/>
    <w:rsid w:val="007E73EC"/>
    <w:rsid w:val="007E7EDF"/>
    <w:rsid w:val="007F0B46"/>
    <w:rsid w:val="008144F5"/>
    <w:rsid w:val="00842D61"/>
    <w:rsid w:val="008462C8"/>
    <w:rsid w:val="008542D6"/>
    <w:rsid w:val="00872FBE"/>
    <w:rsid w:val="00873407"/>
    <w:rsid w:val="00874431"/>
    <w:rsid w:val="00875418"/>
    <w:rsid w:val="00876050"/>
    <w:rsid w:val="008A4AAD"/>
    <w:rsid w:val="008B133B"/>
    <w:rsid w:val="008C0739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1F5A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60CFF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96FE8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08CA"/>
    <w:rsid w:val="00CC31B3"/>
    <w:rsid w:val="00CE1FBA"/>
    <w:rsid w:val="00CE4AF5"/>
    <w:rsid w:val="00CF5F48"/>
    <w:rsid w:val="00CF6151"/>
    <w:rsid w:val="00CF682E"/>
    <w:rsid w:val="00D03D76"/>
    <w:rsid w:val="00D13262"/>
    <w:rsid w:val="00D13CED"/>
    <w:rsid w:val="00D36794"/>
    <w:rsid w:val="00D36AA2"/>
    <w:rsid w:val="00D472B4"/>
    <w:rsid w:val="00D576C1"/>
    <w:rsid w:val="00D57CAE"/>
    <w:rsid w:val="00D74C0B"/>
    <w:rsid w:val="00D8789A"/>
    <w:rsid w:val="00D9681B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00C7"/>
    <w:rsid w:val="00EB6B47"/>
    <w:rsid w:val="00EC1E86"/>
    <w:rsid w:val="00EC5336"/>
    <w:rsid w:val="00EC5BAC"/>
    <w:rsid w:val="00EE45B8"/>
    <w:rsid w:val="00EE6D8A"/>
    <w:rsid w:val="00EE7FDD"/>
    <w:rsid w:val="00F04DE8"/>
    <w:rsid w:val="00F17425"/>
    <w:rsid w:val="00F351EF"/>
    <w:rsid w:val="00F476F4"/>
    <w:rsid w:val="00F6601C"/>
    <w:rsid w:val="00F7211C"/>
    <w:rsid w:val="00F84AC0"/>
    <w:rsid w:val="00F871EE"/>
    <w:rsid w:val="00F92F28"/>
    <w:rsid w:val="00F971D9"/>
    <w:rsid w:val="00FA339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DF1FA-FA5A-482E-A562-125B100A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6</Pages>
  <Words>1705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65</cp:revision>
  <cp:lastPrinted>2015-10-27T04:23:00Z</cp:lastPrinted>
  <dcterms:created xsi:type="dcterms:W3CDTF">2016-01-19T06:40:00Z</dcterms:created>
  <dcterms:modified xsi:type="dcterms:W3CDTF">2016-10-11T02:23:00Z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